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5000" w:type="pct"/>
        <w:tblCellSpacing w:w="0" w:type="dxa"/>
        <w:tblInd w:w="0" w:type="dxa"/>
        <w:shd w:val="clear"/>
        <w:tblLayout w:type="autofit"/>
        <w:tblCellMar>
          <w:top w:w="0" w:type="dxa"/>
          <w:left w:w="0" w:type="dxa"/>
          <w:bottom w:w="0" w:type="dxa"/>
          <w:right w:w="0" w:type="dxa"/>
        </w:tblCellMar>
      </w:tblPr>
      <w:tblGrid>
        <w:gridCol w:w="8306"/>
      </w:tblGrid>
      <w:tr>
        <w:tblPrEx>
          <w:shd w:val="clear"/>
          <w:tblCellMar>
            <w:top w:w="0" w:type="dxa"/>
            <w:left w:w="0" w:type="dxa"/>
            <w:bottom w:w="0" w:type="dxa"/>
            <w:right w:w="0" w:type="dxa"/>
          </w:tblCellMar>
        </w:tblPrEx>
        <w:trPr>
          <w:tblCellSpacing w:w="0" w:type="dxa"/>
        </w:trPr>
        <w:tc>
          <w:tcPr>
            <w:tcW w:w="0" w:type="auto"/>
            <w:shd w:val="clear"/>
            <w:vAlign w:val="center"/>
          </w:tcPr>
          <w:tbl>
            <w:tblPr>
              <w:tblW w:w="5000" w:type="pct"/>
              <w:jc w:val="center"/>
              <w:tblCellSpacing w:w="0" w:type="dxa"/>
              <w:shd w:val="clear"/>
              <w:tblLayout w:type="autofit"/>
              <w:tblCellMar>
                <w:top w:w="0" w:type="dxa"/>
                <w:left w:w="0" w:type="dxa"/>
                <w:bottom w:w="0" w:type="dxa"/>
                <w:right w:w="0" w:type="dxa"/>
              </w:tblCellMar>
            </w:tblPr>
            <w:tblGrid>
              <w:gridCol w:w="8306"/>
            </w:tblGrid>
            <w:tr>
              <w:tblPrEx>
                <w:shd w:val="clear"/>
              </w:tblPrEx>
              <w:trPr>
                <w:tblCellSpacing w:w="0" w:type="dxa"/>
                <w:jc w:val="center"/>
              </w:trPr>
              <w:tc>
                <w:tcPr>
                  <w:tcW w:w="0" w:type="auto"/>
                  <w:shd w:val="clear"/>
                  <w:vAlign w:val="center"/>
                </w:tcPr>
                <w:tbl>
                  <w:tblPr>
                    <w:tblW w:w="5000" w:type="pct"/>
                    <w:tblCellSpacing w:w="0" w:type="dxa"/>
                    <w:tblInd w:w="0" w:type="dxa"/>
                    <w:shd w:val="clear"/>
                    <w:tblLayout w:type="autofit"/>
                    <w:tblCellMar>
                      <w:top w:w="0" w:type="dxa"/>
                      <w:left w:w="0" w:type="dxa"/>
                      <w:bottom w:w="0" w:type="dxa"/>
                      <w:right w:w="0" w:type="dxa"/>
                    </w:tblCellMar>
                  </w:tblPr>
                  <w:tblGrid>
                    <w:gridCol w:w="7932"/>
                    <w:gridCol w:w="374"/>
                  </w:tblGrid>
                  <w:tr>
                    <w:tblPrEx>
                      <w:shd w:val="clear"/>
                      <w:tblCellMar>
                        <w:top w:w="0" w:type="dxa"/>
                        <w:left w:w="0" w:type="dxa"/>
                        <w:bottom w:w="0" w:type="dxa"/>
                        <w:right w:w="0" w:type="dxa"/>
                      </w:tblCellMar>
                    </w:tblPrEx>
                    <w:trPr>
                      <w:tblCellSpacing w:w="0" w:type="dxa"/>
                    </w:trPr>
                    <w:tc>
                      <w:tcPr>
                        <w:tcW w:w="9840" w:type="dxa"/>
                        <w:shd w:val="clear"/>
                        <w:tcMar>
                          <w:top w:w="45" w:type="dxa"/>
                        </w:tcMar>
                        <w:vAlign w:val="center"/>
                      </w:tcPr>
                      <w:p>
                        <w:pPr>
                          <w:keepNext w:val="0"/>
                          <w:keepLines w:val="0"/>
                          <w:widowControl/>
                          <w:suppressLineNumbers w:val="0"/>
                          <w:spacing w:before="0" w:beforeAutospacing="0" w:after="0" w:afterAutospacing="0"/>
                          <w:ind w:left="0" w:right="0"/>
                          <w:jc w:val="center"/>
                          <w:rPr>
                            <w:b/>
                            <w:color w:val="DF001E"/>
                            <w:sz w:val="24"/>
                            <w:szCs w:val="24"/>
                          </w:rPr>
                        </w:pPr>
                        <w:r>
                          <w:rPr>
                            <w:rFonts w:ascii="宋体" w:hAnsi="宋体" w:eastAsia="宋体" w:cs="宋体"/>
                            <w:b/>
                            <w:color w:val="DF001E"/>
                            <w:kern w:val="0"/>
                            <w:sz w:val="24"/>
                            <w:szCs w:val="24"/>
                            <w:bdr w:val="none" w:color="auto" w:sz="0" w:space="0"/>
                            <w:lang w:val="en-US" w:eastAsia="zh-CN" w:bidi="ar"/>
                          </w:rPr>
                          <w:t>北京电影学院简介</w:t>
                        </w:r>
                      </w:p>
                    </w:tc>
                    <w:tc>
                      <w:tcPr>
                        <w:tcW w:w="465" w:type="dxa"/>
                        <w:shd w:val="clear"/>
                        <w:vAlign w:val="center"/>
                      </w:tcPr>
                      <w:p>
                        <w:pPr>
                          <w:rPr>
                            <w:rFonts w:hint="eastAsia" w:ascii="宋体"/>
                            <w:sz w:val="24"/>
                            <w:szCs w:val="24"/>
                          </w:rPr>
                        </w:pPr>
                      </w:p>
                    </w:tc>
                  </w:tr>
                </w:tbl>
                <w:p>
                  <w:pPr>
                    <w:spacing w:before="0" w:beforeAutospacing="0" w:after="0" w:afterAutospacing="0"/>
                    <w:ind w:left="0" w:right="0"/>
                  </w:pPr>
                </w:p>
              </w:tc>
            </w:tr>
          </w:tbl>
          <w:p>
            <w:pPr>
              <w:rPr>
                <w:vanish/>
                <w:sz w:val="24"/>
                <w:szCs w:val="24"/>
              </w:rPr>
            </w:pPr>
          </w:p>
          <w:tbl>
            <w:tblPr>
              <w:tblW w:w="5000" w:type="pct"/>
              <w:jc w:val="center"/>
              <w:tblCellSpacing w:w="0" w:type="dxa"/>
              <w:shd w:val="clear"/>
              <w:tblLayout w:type="autofit"/>
              <w:tblCellMar>
                <w:top w:w="0" w:type="dxa"/>
                <w:left w:w="0" w:type="dxa"/>
                <w:bottom w:w="0" w:type="dxa"/>
                <w:right w:w="0" w:type="dxa"/>
              </w:tblCellMar>
            </w:tblPr>
            <w:tblGrid>
              <w:gridCol w:w="447"/>
              <w:gridCol w:w="7503"/>
              <w:gridCol w:w="356"/>
            </w:tblGrid>
            <w:tr>
              <w:tblPrEx>
                <w:shd w:val="clear"/>
                <w:tblCellMar>
                  <w:top w:w="0" w:type="dxa"/>
                  <w:left w:w="0" w:type="dxa"/>
                  <w:bottom w:w="0" w:type="dxa"/>
                  <w:right w:w="0" w:type="dxa"/>
                </w:tblCellMar>
              </w:tblPrEx>
              <w:trPr>
                <w:tblCellSpacing w:w="0" w:type="dxa"/>
                <w:jc w:val="center"/>
              </w:trPr>
              <w:tc>
                <w:tcPr>
                  <w:tcW w:w="585" w:type="dxa"/>
                  <w:shd w:val="clear"/>
                  <w:vAlign w:val="center"/>
                </w:tcPr>
                <w:p>
                  <w:pPr>
                    <w:rPr>
                      <w:rFonts w:hint="eastAsia" w:ascii="宋体"/>
                      <w:sz w:val="24"/>
                      <w:szCs w:val="24"/>
                    </w:rPr>
                  </w:pPr>
                </w:p>
              </w:tc>
              <w:tc>
                <w:tcPr>
                  <w:tcW w:w="9840" w:type="dxa"/>
                  <w:shd w:val="clear"/>
                  <w:vAlign w:val="center"/>
                </w:tcPr>
                <w:p>
                  <w:pPr>
                    <w:rPr>
                      <w:rFonts w:hint="eastAsia" w:ascii="宋体"/>
                      <w:sz w:val="24"/>
                      <w:szCs w:val="24"/>
                    </w:rPr>
                  </w:pPr>
                </w:p>
              </w:tc>
              <w:tc>
                <w:tcPr>
                  <w:tcW w:w="465" w:type="dxa"/>
                  <w:shd w:val="clear"/>
                  <w:vAlign w:val="center"/>
                </w:tcPr>
                <w:p>
                  <w:pPr>
                    <w:rPr>
                      <w:rFonts w:hint="eastAsia" w:ascii="宋体"/>
                      <w:sz w:val="24"/>
                      <w:szCs w:val="24"/>
                    </w:rPr>
                  </w:pPr>
                </w:p>
              </w:tc>
            </w:tr>
          </w:tbl>
          <w:p>
            <w:pPr>
              <w:jc w:val="center"/>
              <w:rPr>
                <w:rFonts w:ascii="����" w:hAnsi="����" w:eastAsia="����" w:cs="����"/>
                <w:i w:val="0"/>
                <w:caps w:val="0"/>
                <w:color w:val="656565"/>
                <w:spacing w:val="0"/>
                <w:sz w:val="18"/>
                <w:szCs w:val="18"/>
              </w:rPr>
            </w:pPr>
          </w:p>
        </w:tc>
      </w:tr>
    </w:tbl>
    <w:p>
      <w:pPr>
        <w:rPr>
          <w:vanish/>
          <w:sz w:val="24"/>
          <w:szCs w:val="24"/>
        </w:rPr>
      </w:pPr>
    </w:p>
    <w:tbl>
      <w:tblPr>
        <w:tblW w:w="5000" w:type="pct"/>
        <w:tblCellSpacing w:w="0" w:type="dxa"/>
        <w:tblInd w:w="0" w:type="dxa"/>
        <w:shd w:val="clear"/>
        <w:tblLayout w:type="autofit"/>
        <w:tblCellMar>
          <w:top w:w="0" w:type="dxa"/>
          <w:left w:w="0" w:type="dxa"/>
          <w:bottom w:w="0" w:type="dxa"/>
          <w:right w:w="0" w:type="dxa"/>
        </w:tblCellMar>
      </w:tblPr>
      <w:tblGrid>
        <w:gridCol w:w="447"/>
        <w:gridCol w:w="7504"/>
        <w:gridCol w:w="355"/>
      </w:tblGrid>
      <w:tr>
        <w:tblPrEx>
          <w:tblCellMar>
            <w:top w:w="0" w:type="dxa"/>
            <w:left w:w="0" w:type="dxa"/>
            <w:bottom w:w="0" w:type="dxa"/>
            <w:right w:w="0" w:type="dxa"/>
          </w:tblCellMar>
        </w:tblPrEx>
        <w:trPr>
          <w:tblCellSpacing w:w="0" w:type="dxa"/>
        </w:trPr>
        <w:tc>
          <w:tcPr>
            <w:tcW w:w="585" w:type="dxa"/>
            <w:shd w:val="clear"/>
            <w:vAlign w:val="center"/>
          </w:tcPr>
          <w:p>
            <w:pPr>
              <w:jc w:val="center"/>
              <w:rPr>
                <w:rFonts w:hint="default" w:ascii="����" w:hAnsi="����" w:eastAsia="����" w:cs="����"/>
                <w:i w:val="0"/>
                <w:caps w:val="0"/>
                <w:color w:val="656565"/>
                <w:spacing w:val="0"/>
                <w:sz w:val="18"/>
                <w:szCs w:val="18"/>
              </w:rPr>
            </w:pPr>
          </w:p>
        </w:tc>
        <w:tc>
          <w:tcPr>
            <w:tcW w:w="9840" w:type="dxa"/>
            <w:shd w:val="clear"/>
            <w:vAlign w:val="center"/>
          </w:tcPr>
          <w:p>
            <w:pPr>
              <w:keepNext w:val="0"/>
              <w:keepLines w:val="0"/>
              <w:widowControl/>
              <w:suppressLineNumbers w:val="0"/>
              <w:spacing w:before="0" w:beforeAutospacing="0" w:after="0" w:afterAutospacing="0"/>
              <w:ind w:left="0" w:right="0" w:firstLine="0"/>
              <w:jc w:val="center"/>
              <w:rPr>
                <w:rFonts w:hint="default" w:ascii="����" w:hAnsi="����" w:eastAsia="����" w:cs="����"/>
                <w:i w:val="0"/>
                <w:caps w:val="0"/>
                <w:color w:val="656565"/>
                <w:spacing w:val="0"/>
                <w:sz w:val="18"/>
                <w:szCs w:val="18"/>
              </w:rPr>
            </w:pPr>
            <w:r>
              <w:rPr>
                <w:rFonts w:hint="default" w:ascii="����" w:hAnsi="����" w:eastAsia="����" w:cs="����"/>
                <w:i w:val="0"/>
                <w:caps w:val="0"/>
                <w:color w:val="656565"/>
                <w:spacing w:val="0"/>
                <w:kern w:val="0"/>
                <w:sz w:val="18"/>
                <w:szCs w:val="18"/>
                <w:bdr w:val="none" w:color="auto" w:sz="0" w:space="0"/>
                <w:lang w:val="en-US" w:eastAsia="zh-CN" w:bidi="ar"/>
              </w:rPr>
              <w:t> </w:t>
            </w:r>
          </w:p>
        </w:tc>
        <w:tc>
          <w:tcPr>
            <w:tcW w:w="465" w:type="dxa"/>
            <w:shd w:val="clear"/>
            <w:vAlign w:val="center"/>
          </w:tcPr>
          <w:p>
            <w:pPr>
              <w:jc w:val="center"/>
              <w:rPr>
                <w:rFonts w:hint="default" w:ascii="����" w:hAnsi="����" w:eastAsia="����" w:cs="����"/>
                <w:i w:val="0"/>
                <w:caps w:val="0"/>
                <w:color w:val="656565"/>
                <w:spacing w:val="0"/>
                <w:sz w:val="18"/>
                <w:szCs w:val="18"/>
              </w:rPr>
            </w:pPr>
          </w:p>
        </w:tc>
      </w:tr>
    </w:tbl>
    <w:p>
      <w:pPr>
        <w:rPr>
          <w:vanish/>
          <w:sz w:val="24"/>
          <w:szCs w:val="24"/>
        </w:rPr>
      </w:pPr>
    </w:p>
    <w:tbl>
      <w:tblPr>
        <w:tblW w:w="5000" w:type="pct"/>
        <w:tblCellSpacing w:w="0" w:type="dxa"/>
        <w:tblInd w:w="0" w:type="dxa"/>
        <w:shd w:val="clear"/>
        <w:tblLayout w:type="autofit"/>
        <w:tblCellMar>
          <w:top w:w="0" w:type="dxa"/>
          <w:left w:w="0" w:type="dxa"/>
          <w:bottom w:w="0" w:type="dxa"/>
          <w:right w:w="0" w:type="dxa"/>
        </w:tblCellMar>
      </w:tblPr>
      <w:tblGrid>
        <w:gridCol w:w="5"/>
        <w:gridCol w:w="8301"/>
      </w:tblGrid>
      <w:tr>
        <w:trPr>
          <w:tblCellSpacing w:w="0" w:type="dxa"/>
        </w:trPr>
        <w:tc>
          <w:tcPr>
            <w:tcW w:w="585" w:type="dxa"/>
            <w:shd w:val="clear"/>
            <w:vAlign w:val="center"/>
          </w:tcPr>
          <w:p>
            <w:pPr>
              <w:jc w:val="center"/>
              <w:rPr>
                <w:rFonts w:hint="default" w:ascii="����" w:hAnsi="����" w:eastAsia="����" w:cs="����"/>
                <w:i w:val="0"/>
                <w:caps w:val="0"/>
                <w:color w:val="5D5D5D"/>
                <w:spacing w:val="0"/>
                <w:sz w:val="18"/>
                <w:szCs w:val="18"/>
              </w:rPr>
            </w:pPr>
          </w:p>
        </w:tc>
        <w:tc>
          <w:tcPr>
            <w:tcW w:w="9840" w:type="dxa"/>
            <w:shd w:val="clear"/>
            <w:vAlign w:val="top"/>
          </w:tcPr>
          <w:tbl>
            <w:tblPr>
              <w:tblW w:w="1500" w:type="pct"/>
              <w:jc w:val="center"/>
              <w:tblCellSpacing w:w="37" w:type="dxa"/>
              <w:tblBorders>
                <w:top w:val="outset" w:color="A7A7A7" w:sz="12" w:space="0"/>
                <w:left w:val="outset" w:color="A7A7A7" w:sz="12" w:space="0"/>
                <w:bottom w:val="outset" w:color="A7A7A7" w:sz="12" w:space="0"/>
                <w:right w:val="outset" w:color="A7A7A7" w:sz="12" w:space="0"/>
                <w:insideH w:val="outset" w:color="A7A7A7" w:sz="12" w:space="0"/>
                <w:insideV w:val="outset" w:color="A7A7A7" w:sz="12" w:space="0"/>
              </w:tblBorders>
              <w:shd w:val="clear" w:color="auto" w:fill="F7F7F7"/>
              <w:tblLayout w:type="autofit"/>
              <w:tblCellMar>
                <w:top w:w="0" w:type="dxa"/>
                <w:left w:w="0" w:type="dxa"/>
                <w:bottom w:w="0" w:type="dxa"/>
                <w:right w:w="0" w:type="dxa"/>
              </w:tblCellMar>
            </w:tblPr>
            <w:tblGrid>
              <w:gridCol w:w="8271"/>
            </w:tblGrid>
            <w:tr>
              <w:tblPrEx>
                <w:tblBorders>
                  <w:top w:val="outset" w:color="A7A7A7" w:sz="12" w:space="0"/>
                  <w:left w:val="outset" w:color="A7A7A7" w:sz="12" w:space="0"/>
                  <w:bottom w:val="outset" w:color="A7A7A7" w:sz="12" w:space="0"/>
                  <w:right w:val="outset" w:color="A7A7A7" w:sz="12" w:space="0"/>
                  <w:insideH w:val="outset" w:color="A7A7A7" w:sz="12" w:space="0"/>
                  <w:insideV w:val="outset" w:color="A7A7A7" w:sz="12" w:space="0"/>
                </w:tblBorders>
                <w:shd w:val="clear" w:color="auto" w:fill="F7F7F7"/>
                <w:tblCellMar>
                  <w:top w:w="0" w:type="dxa"/>
                  <w:left w:w="0" w:type="dxa"/>
                  <w:bottom w:w="0" w:type="dxa"/>
                  <w:right w:w="0" w:type="dxa"/>
                </w:tblCellMar>
              </w:tblPrEx>
              <w:trPr>
                <w:tblCellSpacing w:w="37" w:type="dxa"/>
                <w:jc w:val="center"/>
              </w:trPr>
              <w:tc>
                <w:tcPr>
                  <w:tcW w:w="0" w:type="auto"/>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宋体" w:hAnsi="宋体" w:eastAsia="宋体" w:cs="宋体"/>
                      <w:kern w:val="0"/>
                      <w:sz w:val="24"/>
                      <w:szCs w:val="24"/>
                      <w:bdr w:val="none" w:color="auto" w:sz="0" w:space="0"/>
                      <w:lang w:val="en-US" w:eastAsia="zh-CN" w:bidi="ar"/>
                    </w:rPr>
                    <w:drawing>
                      <wp:inline distT="0" distB="0" distL="114300" distR="114300">
                        <wp:extent cx="5715000" cy="3600450"/>
                        <wp:effectExtent l="0" t="0" r="0" b="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4"/>
                                <a:stretch>
                                  <a:fillRect/>
                                </a:stretch>
                              </pic:blipFill>
                              <pic:spPr>
                                <a:xfrm>
                                  <a:off x="0" y="0"/>
                                  <a:ext cx="5715000" cy="36004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    校园大门</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 w:hAnsi="����" w:eastAsia="����" w:cs="����"/>
                <w:i w:val="0"/>
                <w:caps w:val="0"/>
                <w:color w:val="5D5D5D"/>
                <w:spacing w:val="0"/>
                <w:sz w:val="18"/>
                <w:szCs w:val="18"/>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 w:hAnsi="����" w:eastAsia="����" w:cs="����"/>
                <w:i w:val="0"/>
                <w:caps w:val="0"/>
                <w:color w:val="5D5D5D"/>
                <w:spacing w:val="0"/>
                <w:sz w:val="18"/>
                <w:szCs w:val="18"/>
                <w:bdr w:val="none" w:color="auto" w:sz="0" w:space="0"/>
              </w:rPr>
              <w:t>        北京电影学院是一所有着电影历史传承和深厚电影文化积淀的高等艺术院校，学校的前身是1950年创建的表演艺术研究所，1951年迁址并改名为中央文化部电影局电影学校，1953年更名为北京电影学校，1956年改为四年本科建制的北京电影学院。建校近七十年，名师荟萃，学派传承，创作了众多中国电影史上的经典作品，在学科建设、教学创作、师资培养、人才选拔各方面都引领着中国电影教育的发展方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 w:hAnsi="����" w:eastAsia="����" w:cs="����"/>
                <w:i w:val="0"/>
                <w:caps w:val="0"/>
                <w:color w:val="5D5D5D"/>
                <w:spacing w:val="0"/>
                <w:sz w:val="18"/>
                <w:szCs w:val="18"/>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 w:hAnsi="����" w:eastAsia="����" w:cs="����"/>
                <w:i w:val="0"/>
                <w:caps w:val="0"/>
                <w:color w:val="5D5D5D"/>
                <w:spacing w:val="0"/>
                <w:sz w:val="18"/>
                <w:szCs w:val="18"/>
                <w:bdr w:val="none" w:color="auto" w:sz="0" w:space="0"/>
              </w:rPr>
              <w:t> </w:t>
            </w:r>
            <w:r>
              <w:rPr>
                <w:rFonts w:hint="default" w:ascii="����" w:hAnsi="����" w:eastAsia="����" w:cs="����"/>
                <w:i w:val="0"/>
                <w:caps w:val="0"/>
                <w:color w:val="5D5D5D"/>
                <w:spacing w:val="0"/>
                <w:sz w:val="18"/>
                <w:szCs w:val="18"/>
                <w:bdr w:val="none" w:color="auto" w:sz="0" w:space="0"/>
              </w:rPr>
              <w:drawing>
                <wp:inline distT="0" distB="0" distL="114300" distR="114300">
                  <wp:extent cx="5715000" cy="3429000"/>
                  <wp:effectExtent l="0" t="0" r="0" b="0"/>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5"/>
                          <a:stretch>
                            <a:fillRect/>
                          </a:stretch>
                        </pic:blipFill>
                        <pic:spPr>
                          <a:xfrm>
                            <a:off x="0" y="0"/>
                            <a:ext cx="5715000" cy="3429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jc w:val="center"/>
              <w:rPr>
                <w:rFonts w:hint="default" w:ascii="����" w:hAnsi="����" w:eastAsia="����" w:cs="����"/>
                <w:i w:val="0"/>
                <w:caps w:val="0"/>
                <w:color w:val="5D5D5D"/>
                <w:spacing w:val="0"/>
                <w:sz w:val="18"/>
                <w:szCs w:val="18"/>
              </w:rPr>
            </w:pPr>
            <w:r>
              <w:rPr>
                <w:rFonts w:hint="default" w:ascii="����" w:hAnsi="����" w:eastAsia="����" w:cs="����"/>
                <w:i w:val="0"/>
                <w:caps w:val="0"/>
                <w:color w:val="5D5D5D"/>
                <w:spacing w:val="0"/>
                <w:kern w:val="0"/>
                <w:sz w:val="18"/>
                <w:szCs w:val="18"/>
                <w:bdr w:val="none" w:color="auto" w:sz="0" w:space="0"/>
                <w:lang w:val="en-US" w:eastAsia="zh-CN" w:bidi="ar"/>
              </w:rPr>
              <w:t>    校园全景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jc w:val="center"/>
              <w:rPr>
                <w:rFonts w:hint="default" w:ascii="����" w:hAnsi="����" w:eastAsia="����" w:cs="����"/>
                <w:i w:val="0"/>
                <w:caps w:val="0"/>
                <w:color w:val="5D5D5D"/>
                <w:spacing w:val="0"/>
                <w:sz w:val="18"/>
                <w:szCs w:val="18"/>
              </w:rPr>
            </w:pPr>
            <w:r>
              <w:rPr>
                <w:rFonts w:hint="default" w:ascii="����" w:hAnsi="����" w:eastAsia="����" w:cs="����"/>
                <w:i w:val="0"/>
                <w:caps w:val="0"/>
                <w:color w:val="5D5D5D"/>
                <w:spacing w:val="0"/>
                <w:kern w:val="0"/>
                <w:sz w:val="18"/>
                <w:szCs w:val="18"/>
                <w:bdr w:val="none" w:color="auto" w:sz="0" w:space="0"/>
                <w:lang w:val="en-US" w:eastAsia="zh-CN" w:bidi="ar"/>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 w:hAnsi="����" w:eastAsia="����" w:cs="����"/>
                <w:i w:val="0"/>
                <w:caps w:val="0"/>
                <w:color w:val="5D5D5D"/>
                <w:spacing w:val="0"/>
                <w:sz w:val="18"/>
                <w:szCs w:val="18"/>
                <w:bdr w:val="none" w:color="auto" w:sz="0" w:space="0"/>
              </w:rPr>
              <w:t>        学校秉承“尊师重道、薪火相传”的校训，“修身、勤学、精艺、践行”的校风，以及“立德、立言、立行，求是、求美、求新”的学校精神，坚持“向人民学习、为人民服务、做人民的艺术家”的艺术观教育，培养知识结构合理、专业能力扎实、富有艺术创新精神、具备较深厚的人文素养、艺术素养、科学素养和职业素养，符合社会主义文化事业发展需要的的艺术人才。学校始终坚持遴选和培育精英人才，强化教学中心地位，走内涵式发展道路，建立了完备的电影教育教学体系，形成了以教育教学为主体，以科学研究为基础，以艺术创作为支撑，教学、科研、创作“三位一体”的办学格局， 支撑人才培养、科学研究、艺术创作和社会服务。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 w:hAnsi="����" w:eastAsia="����" w:cs="����"/>
                <w:i w:val="0"/>
                <w:caps w:val="0"/>
                <w:color w:val="5D5D5D"/>
                <w:spacing w:val="0"/>
                <w:sz w:val="18"/>
                <w:szCs w:val="18"/>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 w:hAnsi="����" w:eastAsia="����" w:cs="����"/>
                <w:i w:val="0"/>
                <w:caps w:val="0"/>
                <w:color w:val="5D5D5D"/>
                <w:spacing w:val="0"/>
                <w:sz w:val="18"/>
                <w:szCs w:val="18"/>
                <w:bdr w:val="none" w:color="auto" w:sz="0" w:space="0"/>
                <w:lang w:val="en-US"/>
              </w:rPr>
              <w:drawing>
                <wp:inline distT="0" distB="0" distL="114300" distR="114300">
                  <wp:extent cx="5715000" cy="4067175"/>
                  <wp:effectExtent l="0" t="0" r="0"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715000" cy="40671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jc w:val="center"/>
              <w:rPr>
                <w:rFonts w:hint="default" w:ascii="����" w:hAnsi="����" w:eastAsia="����" w:cs="����"/>
                <w:i w:val="0"/>
                <w:caps w:val="0"/>
                <w:color w:val="5D5D5D"/>
                <w:spacing w:val="0"/>
                <w:sz w:val="18"/>
                <w:szCs w:val="18"/>
                <w:lang w:val="en-US"/>
              </w:rPr>
            </w:pPr>
            <w:r>
              <w:rPr>
                <w:rFonts w:hint="default" w:ascii="����" w:hAnsi="����" w:eastAsia="����" w:cs="����"/>
                <w:i w:val="0"/>
                <w:caps w:val="0"/>
                <w:color w:val="5D5D5D"/>
                <w:spacing w:val="0"/>
                <w:kern w:val="0"/>
                <w:sz w:val="18"/>
                <w:szCs w:val="18"/>
                <w:bdr w:val="none" w:color="auto" w:sz="0" w:space="0"/>
                <w:lang w:val="en-US" w:eastAsia="zh-CN" w:bidi="ar"/>
              </w:rPr>
              <w:t>    校训碑</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jc w:val="center"/>
              <w:rPr>
                <w:rFonts w:hint="default" w:ascii="����" w:hAnsi="����" w:eastAsia="����" w:cs="����"/>
                <w:i w:val="0"/>
                <w:caps w:val="0"/>
                <w:color w:val="5D5D5D"/>
                <w:spacing w:val="0"/>
                <w:sz w:val="18"/>
                <w:szCs w:val="18"/>
                <w:lang w:val="en-US"/>
              </w:rPr>
            </w:pPr>
            <w:r>
              <w:rPr>
                <w:rFonts w:hint="default" w:ascii="����" w:hAnsi="����" w:eastAsia="����" w:cs="����"/>
                <w:i w:val="0"/>
                <w:caps w:val="0"/>
                <w:color w:val="5D5D5D"/>
                <w:spacing w:val="0"/>
                <w:kern w:val="0"/>
                <w:sz w:val="18"/>
                <w:szCs w:val="18"/>
                <w:bdr w:val="none" w:color="auto" w:sz="0" w:space="0"/>
                <w:lang w:val="en-US" w:eastAsia="zh-CN" w:bidi="ar"/>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 w:hAnsi="����" w:eastAsia="����" w:cs="����"/>
                <w:i w:val="0"/>
                <w:caps w:val="0"/>
                <w:color w:val="5D5D5D"/>
                <w:spacing w:val="0"/>
                <w:sz w:val="18"/>
                <w:szCs w:val="18"/>
                <w:bdr w:val="none" w:color="auto" w:sz="0" w:space="0"/>
                <w:lang w:val="en-US"/>
              </w:rPr>
              <w:t>        学校现有文学系、导演系、摄影系、电影学系、影视技术系、表演学院、声音学院、美术学院、动画学院、管理学院、摄影学院、数字媒体学院、视听传媒学院、国际交流学院、高职学院和继续教育学院等15个院系及研究生院和基础部，涵盖了电影创作的每一个行当，囊括了电影创作的全部环节，是唯一能独立进行故事片长片、动画片长片创作的院校。青年电影制片厂既是学生电影创作实践的组织指导单位，又是教师艺术创新实践的生产单位，出品了大量优秀的影片和学生毕业作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 w:hAnsi="����" w:eastAsia="����" w:cs="����"/>
                <w:i w:val="0"/>
                <w:caps w:val="0"/>
                <w:color w:val="5D5D5D"/>
                <w:spacing w:val="0"/>
                <w:sz w:val="18"/>
                <w:szCs w:val="18"/>
                <w:bdr w:val="none" w:color="auto" w:sz="0" w:space="0"/>
                <w:lang w:val="en-US"/>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 w:hAnsi="����" w:eastAsia="����" w:cs="����"/>
                <w:i w:val="0"/>
                <w:caps w:val="0"/>
                <w:color w:val="5D5D5D"/>
                <w:spacing w:val="0"/>
                <w:sz w:val="18"/>
                <w:szCs w:val="18"/>
                <w:bdr w:val="none" w:color="auto" w:sz="0" w:space="0"/>
                <w:lang w:val="en-US"/>
              </w:rPr>
              <w:t>        学校以戏剧与影视学一级学科作为学科建设核心，建设国内领先、世界一流电影学学科体系，发挥其引领专业建设和人才培养的重要作用。以艺术学门类下的美术学和艺术学理论两个一级学科，与电影学学科互补共进，适当发展与社会科学、工程技术等其他学科交叉的学科。注重发挥学科专业优势，紧紧围绕北京“四个中心”特别是文化中心与国际交往中心功能定位，服务电影强国建设和文化大发展大繁荣。面向世界电影发展前沿，深入推进国际化战略， 开展全方位、多层次、宽领域的国际教育交流与合作。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 w:hAnsi="����" w:eastAsia="����" w:cs="����"/>
                <w:i w:val="0"/>
                <w:caps w:val="0"/>
                <w:color w:val="5D5D5D"/>
                <w:spacing w:val="0"/>
                <w:sz w:val="18"/>
                <w:szCs w:val="18"/>
                <w:bdr w:val="none" w:color="auto" w:sz="0" w:space="0"/>
                <w:lang w:val="en-US"/>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 w:hAnsi="����" w:eastAsia="����" w:cs="����"/>
                <w:i w:val="0"/>
                <w:caps w:val="0"/>
                <w:color w:val="5D5D5D"/>
                <w:spacing w:val="0"/>
                <w:sz w:val="18"/>
                <w:szCs w:val="18"/>
                <w:bdr w:val="none" w:color="auto" w:sz="0" w:space="0"/>
                <w:lang w:val="en-US"/>
              </w:rPr>
              <w:t> </w:t>
            </w:r>
            <w:r>
              <w:rPr>
                <w:rFonts w:hint="default" w:ascii="����" w:hAnsi="����" w:eastAsia="����" w:cs="����"/>
                <w:i w:val="0"/>
                <w:caps w:val="0"/>
                <w:color w:val="5D5D5D"/>
                <w:spacing w:val="0"/>
                <w:sz w:val="18"/>
                <w:szCs w:val="18"/>
                <w:bdr w:val="none" w:color="auto" w:sz="0" w:space="0"/>
                <w:lang w:val="en-US"/>
              </w:rPr>
              <w:drawing>
                <wp:inline distT="0" distB="0" distL="114300" distR="114300">
                  <wp:extent cx="5715000" cy="4000500"/>
                  <wp:effectExtent l="0" t="0" r="0" b="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7"/>
                          <a:stretch>
                            <a:fillRect/>
                          </a:stretch>
                        </pic:blipFill>
                        <pic:spPr>
                          <a:xfrm>
                            <a:off x="0" y="0"/>
                            <a:ext cx="5715000" cy="40005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jc w:val="center"/>
              <w:rPr>
                <w:rFonts w:hint="default" w:ascii="����" w:hAnsi="����" w:eastAsia="����" w:cs="����"/>
                <w:i w:val="0"/>
                <w:caps w:val="0"/>
                <w:color w:val="5D5D5D"/>
                <w:spacing w:val="0"/>
                <w:sz w:val="18"/>
                <w:szCs w:val="18"/>
                <w:lang w:val="en-US"/>
              </w:rPr>
            </w:pPr>
            <w:r>
              <w:rPr>
                <w:rFonts w:hint="default" w:ascii="����" w:hAnsi="����" w:eastAsia="����" w:cs="����"/>
                <w:i w:val="0"/>
                <w:caps w:val="0"/>
                <w:color w:val="5D5D5D"/>
                <w:spacing w:val="0"/>
                <w:kern w:val="0"/>
                <w:sz w:val="18"/>
                <w:szCs w:val="18"/>
                <w:bdr w:val="none" w:color="auto" w:sz="0" w:space="0"/>
                <w:lang w:val="en-US" w:eastAsia="zh-CN" w:bidi="ar"/>
              </w:rPr>
              <w:t>    畅想柱</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jc w:val="center"/>
              <w:rPr>
                <w:rFonts w:hint="default" w:ascii="����" w:hAnsi="����" w:eastAsia="����" w:cs="����"/>
                <w:i w:val="0"/>
                <w:caps w:val="0"/>
                <w:color w:val="5D5D5D"/>
                <w:spacing w:val="0"/>
                <w:sz w:val="18"/>
                <w:szCs w:val="18"/>
                <w:lang w:val="en-US"/>
              </w:rPr>
            </w:pPr>
            <w:r>
              <w:rPr>
                <w:rFonts w:hint="default" w:ascii="����" w:hAnsi="����" w:eastAsia="����" w:cs="����"/>
                <w:i w:val="0"/>
                <w:caps w:val="0"/>
                <w:color w:val="5D5D5D"/>
                <w:spacing w:val="0"/>
                <w:kern w:val="0"/>
                <w:sz w:val="18"/>
                <w:szCs w:val="18"/>
                <w:bdr w:val="none" w:color="auto" w:sz="0" w:space="0"/>
                <w:lang w:val="en-US" w:eastAsia="zh-CN" w:bidi="ar"/>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 w:hAnsi="����" w:eastAsia="����" w:cs="����"/>
                <w:i w:val="0"/>
                <w:caps w:val="0"/>
                <w:color w:val="5D5D5D"/>
                <w:spacing w:val="0"/>
                <w:sz w:val="18"/>
                <w:szCs w:val="18"/>
                <w:bdr w:val="none" w:color="auto" w:sz="0" w:space="0"/>
                <w:lang w:val="en-US"/>
              </w:rPr>
              <w:t>        截止到2018年9月，学校有全日制在校生3027人，其中本科生2083人。学校有教职工561人，其中专任教师336人，外聘教师85名。学校拥有一支政治坚定、师德高尚、业务精湛、精于教书、勤于育人的师资队伍，现有国家“千人计划”和“万人计划”入选者、百千万人才工程国家级人选、中宣部及北京市“四个一批”人才、“高创计划”领军人才、全国及首都劳动奖章获得者、享受国务院特殊津贴专家、全国优秀教师、北京市优秀教师、教学名师、师德先锋、长城学者等人才百余人次。此外，学校有多位教授在国内外重要电影（电视）节担任主席、评委，在国内专业学术团体中担任理事以上学术职务的教师数量众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 w:hAnsi="����" w:eastAsia="����" w:cs="����"/>
                <w:i w:val="0"/>
                <w:caps w:val="0"/>
                <w:color w:val="5D5D5D"/>
                <w:spacing w:val="0"/>
                <w:sz w:val="18"/>
                <w:szCs w:val="18"/>
                <w:bdr w:val="none" w:color="auto" w:sz="0" w:space="0"/>
                <w:lang w:val="en-US"/>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 w:hAnsi="����" w:eastAsia="����" w:cs="����"/>
                <w:i w:val="0"/>
                <w:caps w:val="0"/>
                <w:color w:val="5D5D5D"/>
                <w:spacing w:val="0"/>
                <w:sz w:val="18"/>
                <w:szCs w:val="18"/>
                <w:bdr w:val="none" w:color="auto" w:sz="0" w:space="0"/>
                <w:lang w:val="en-US"/>
              </w:rPr>
              <w:drawing>
                <wp:inline distT="0" distB="0" distL="114300" distR="114300">
                  <wp:extent cx="5715000" cy="3810000"/>
                  <wp:effectExtent l="0" t="0" r="0" b="0"/>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8"/>
                          <a:stretch>
                            <a:fillRect/>
                          </a:stretch>
                        </pic:blipFill>
                        <pic:spPr>
                          <a:xfrm>
                            <a:off x="0" y="0"/>
                            <a:ext cx="5715000" cy="3810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jc w:val="center"/>
              <w:rPr>
                <w:rFonts w:hint="default" w:ascii="����" w:hAnsi="����" w:eastAsia="����" w:cs="����"/>
                <w:i w:val="0"/>
                <w:caps w:val="0"/>
                <w:color w:val="5D5D5D"/>
                <w:spacing w:val="0"/>
                <w:sz w:val="18"/>
                <w:szCs w:val="18"/>
                <w:lang w:val="en-US"/>
              </w:rPr>
            </w:pPr>
            <w:r>
              <w:rPr>
                <w:rFonts w:hint="default" w:ascii="����" w:hAnsi="����" w:eastAsia="����" w:cs="����"/>
                <w:i w:val="0"/>
                <w:caps w:val="0"/>
                <w:color w:val="5D5D5D"/>
                <w:spacing w:val="0"/>
                <w:kern w:val="0"/>
                <w:sz w:val="18"/>
                <w:szCs w:val="18"/>
                <w:bdr w:val="none" w:color="auto" w:sz="0" w:space="0"/>
                <w:lang w:val="en-US" w:eastAsia="zh-CN" w:bidi="ar"/>
              </w:rPr>
              <w:t>    四季厅</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jc w:val="center"/>
              <w:rPr>
                <w:rFonts w:hint="default" w:ascii="����" w:hAnsi="����" w:eastAsia="����" w:cs="����"/>
                <w:i w:val="0"/>
                <w:caps w:val="0"/>
                <w:color w:val="5D5D5D"/>
                <w:spacing w:val="0"/>
                <w:sz w:val="18"/>
                <w:szCs w:val="18"/>
                <w:lang w:val="en-US"/>
              </w:rPr>
            </w:pPr>
            <w:r>
              <w:rPr>
                <w:rFonts w:hint="default" w:ascii="����" w:hAnsi="����" w:eastAsia="����" w:cs="����"/>
                <w:i w:val="0"/>
                <w:caps w:val="0"/>
                <w:color w:val="5D5D5D"/>
                <w:spacing w:val="0"/>
                <w:kern w:val="0"/>
                <w:sz w:val="18"/>
                <w:szCs w:val="18"/>
                <w:bdr w:val="none" w:color="auto" w:sz="0" w:space="0"/>
                <w:lang w:val="en-US" w:eastAsia="zh-CN" w:bidi="ar"/>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 w:hAnsi="����" w:eastAsia="����" w:cs="����"/>
                <w:i w:val="0"/>
                <w:caps w:val="0"/>
                <w:color w:val="5D5D5D"/>
                <w:spacing w:val="0"/>
                <w:sz w:val="18"/>
                <w:szCs w:val="18"/>
                <w:bdr w:val="none" w:color="auto" w:sz="0" w:space="0"/>
                <w:lang w:val="en-US"/>
              </w:rPr>
              <w:t>        学校拥有良好的办学条件。专业教室和专业实验室功能齐全、设备先进，多媒体影音设备实现全覆盖。拥有数字电影技术与艺术实验室、动画新媒体技术实验室、数字影视动画创作工程研究中心、声音创作与工程中心等多个省部级重点实验室和实验教学示范中心。学校有放映厅、剧场、报告厅、摄影棚等设施，教学设备配置总值高，生均值约15.28万元，能够较好地满足教学、科研和师生艺术创作的需要。24小时图书馆馆藏文献以电影为核心，艺术类为重点，馆藏资源丰富。学校蓟门桥校区占地105亩，怀柔校区占地面积667亩（一期在建），将会为学校师生提供更好的学习和创作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 w:hAnsi="����" w:eastAsia="����" w:cs="����"/>
                <w:i w:val="0"/>
                <w:caps w:val="0"/>
                <w:color w:val="5D5D5D"/>
                <w:spacing w:val="0"/>
                <w:sz w:val="18"/>
                <w:szCs w:val="18"/>
                <w:bdr w:val="none" w:color="auto" w:sz="0" w:space="0"/>
                <w:lang w:val="en-US"/>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pPr>
            <w:r>
              <w:rPr>
                <w:rFonts w:hint="default" w:ascii="����" w:hAnsi="����" w:eastAsia="����" w:cs="����"/>
                <w:i w:val="0"/>
                <w:caps w:val="0"/>
                <w:color w:val="5D5D5D"/>
                <w:spacing w:val="0"/>
                <w:sz w:val="18"/>
                <w:szCs w:val="18"/>
                <w:bdr w:val="none" w:color="auto" w:sz="0" w:space="0"/>
                <w:lang w:val="en-US"/>
              </w:rPr>
              <w:drawing>
                <wp:inline distT="0" distB="0" distL="114300" distR="114300">
                  <wp:extent cx="5715000" cy="4286250"/>
                  <wp:effectExtent l="0" t="0" r="0" b="0"/>
                  <wp:docPr id="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261"/>
                          <pic:cNvPicPr>
                            <a:picLocks noChangeAspect="1"/>
                          </pic:cNvPicPr>
                        </pic:nvPicPr>
                        <pic:blipFill>
                          <a:blip r:embed="rId9"/>
                          <a:stretch>
                            <a:fillRect/>
                          </a:stretch>
                        </pic:blipFill>
                        <pic:spPr>
                          <a:xfrm>
                            <a:off x="0" y="0"/>
                            <a:ext cx="5715000" cy="42862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jc w:val="center"/>
              <w:rPr>
                <w:rFonts w:hint="default" w:ascii="����" w:hAnsi="����" w:eastAsia="����" w:cs="����"/>
                <w:i w:val="0"/>
                <w:caps w:val="0"/>
                <w:color w:val="5D5D5D"/>
                <w:spacing w:val="0"/>
                <w:sz w:val="18"/>
                <w:szCs w:val="18"/>
                <w:lang w:val="en-US"/>
              </w:rPr>
            </w:pPr>
            <w:r>
              <w:rPr>
                <w:rFonts w:hint="default" w:ascii="����" w:hAnsi="����" w:eastAsia="����" w:cs="����"/>
                <w:i w:val="0"/>
                <w:caps w:val="0"/>
                <w:color w:val="5D5D5D"/>
                <w:spacing w:val="0"/>
                <w:kern w:val="0"/>
                <w:sz w:val="18"/>
                <w:szCs w:val="18"/>
                <w:bdr w:val="none" w:color="auto" w:sz="0" w:space="0"/>
                <w:lang w:val="en-US" w:eastAsia="zh-CN" w:bidi="ar"/>
              </w:rPr>
              <w:t>    金字塔</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jc w:val="center"/>
              <w:rPr>
                <w:rFonts w:hint="default" w:ascii="����" w:hAnsi="����" w:eastAsia="����" w:cs="����"/>
                <w:i w:val="0"/>
                <w:caps w:val="0"/>
                <w:color w:val="5D5D5D"/>
                <w:spacing w:val="0"/>
                <w:sz w:val="18"/>
                <w:szCs w:val="18"/>
                <w:lang w:val="en-US"/>
              </w:rPr>
            </w:pPr>
            <w:r>
              <w:rPr>
                <w:rFonts w:hint="default" w:ascii="����" w:hAnsi="����" w:eastAsia="����" w:cs="����"/>
                <w:i w:val="0"/>
                <w:caps w:val="0"/>
                <w:color w:val="5D5D5D"/>
                <w:spacing w:val="0"/>
                <w:kern w:val="0"/>
                <w:sz w:val="18"/>
                <w:szCs w:val="18"/>
                <w:bdr w:val="none" w:color="auto" w:sz="0" w:space="0"/>
                <w:lang w:val="en-US" w:eastAsia="zh-CN" w:bidi="ar"/>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 w:hAnsi="����" w:eastAsia="����" w:cs="����"/>
                <w:i w:val="0"/>
                <w:caps w:val="0"/>
                <w:color w:val="5D5D5D"/>
                <w:spacing w:val="0"/>
                <w:sz w:val="18"/>
                <w:szCs w:val="18"/>
                <w:bdr w:val="none" w:color="auto" w:sz="0" w:space="0"/>
                <w:lang w:val="en-US"/>
              </w:rPr>
              <w:t>        学校获批“国家电影智库”“未来影像高精尖创新中心”“中国文艺评论基地”“北京市习近平新时代中国特色社会主义思想研究中心北京电影学院基地”“国家动画教学研究基地”及“北京影视艺术研究基地”。《北京电影学院学报》是中文社会科学引文索引核心期刊（CSSCI）来源期刊、中国人文社会科学期刊A刊核心期刊、北京大学核心期刊入选期刊。近三年，学校连续获得国家社科基金艺术学重大项目2项、获得科技部“十三五”时期唯一面向电影行业的国家重点研发项目（影视制作虚拟预演关键技术研发与系统集成）。学校汇集了国内外研究团队102人，其中包括海内外院士5人、长江学者2人，近年来5篇论文入选了世界计算机图形图像和互动技术领域顶级会议（SIGGRAPH大会），取得了比肩清华北大的优秀成绩，实现了电影科技研究在国际顶尖学术舞台上“零的突破”和“跨越式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 w:hAnsi="����" w:eastAsia="����" w:cs="����"/>
                <w:i w:val="0"/>
                <w:caps w:val="0"/>
                <w:color w:val="5D5D5D"/>
                <w:spacing w:val="0"/>
                <w:sz w:val="18"/>
                <w:szCs w:val="18"/>
                <w:bdr w:val="none" w:color="auto" w:sz="0" w:space="0"/>
                <w:lang w:val="en-US"/>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 w:hAnsi="����" w:eastAsia="����" w:cs="����"/>
                <w:i w:val="0"/>
                <w:caps w:val="0"/>
                <w:color w:val="5D5D5D"/>
                <w:spacing w:val="0"/>
                <w:sz w:val="18"/>
                <w:szCs w:val="18"/>
                <w:bdr w:val="none" w:color="auto" w:sz="0" w:space="0"/>
                <w:lang w:val="en-US"/>
              </w:rPr>
              <w:t>        北京电影学院始终在实践中努力探索有中国特色的社会主义电影教育道路，提出“建设世界一流电影学院”的战略目标。始终扎根中国大地，作为中国唯一一所独立设置的电影专业教育高等学府，持续处于全国千余所开设影视教育专业高校的领军地位；始终以中国电影人才培养为己任，被誉为“中国电影人才的摇篮”；始终站在世界电影教育的最前沿，是当今世界规模最大、专业设置最全面的电影专业院校，连续多年入选全球影视院校排行榜第三名。学校是国际影视院校联合会（CILECT）理事单位，学校代表担任亚太地区执委会副主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 w:hAnsi="����" w:eastAsia="����" w:cs="����"/>
                <w:i w:val="0"/>
                <w:caps w:val="0"/>
                <w:color w:val="5D5D5D"/>
                <w:spacing w:val="0"/>
                <w:sz w:val="18"/>
                <w:szCs w:val="18"/>
                <w:bdr w:val="none" w:color="auto" w:sz="0" w:space="0"/>
                <w:lang w:val="en-US"/>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jc w:val="center"/>
              <w:rPr>
                <w:rFonts w:hint="default" w:ascii="����" w:hAnsi="����" w:eastAsia="����" w:cs="����"/>
                <w:i w:val="0"/>
                <w:caps w:val="0"/>
                <w:color w:val="5D5D5D"/>
                <w:spacing w:val="0"/>
                <w:sz w:val="18"/>
                <w:szCs w:val="18"/>
                <w:lang w:val="en-US"/>
              </w:rPr>
            </w:pPr>
            <w:r>
              <w:rPr>
                <w:rFonts w:hint="default" w:ascii="����" w:hAnsi="����" w:eastAsia="����" w:cs="����"/>
                <w:i w:val="0"/>
                <w:caps w:val="0"/>
                <w:color w:val="5D5D5D"/>
                <w:spacing w:val="0"/>
                <w:kern w:val="0"/>
                <w:sz w:val="18"/>
                <w:szCs w:val="18"/>
                <w:bdr w:val="none" w:color="auto" w:sz="0" w:space="0"/>
                <w:lang w:val="en-US" w:eastAsia="zh-CN" w:bidi="ar"/>
              </w:rPr>
              <w:drawing>
                <wp:inline distT="0" distB="0" distL="114300" distR="114300">
                  <wp:extent cx="5715000" cy="3819525"/>
                  <wp:effectExtent l="0" t="0" r="0" b="9525"/>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10"/>
                          <a:stretch>
                            <a:fillRect/>
                          </a:stretch>
                        </pic:blipFill>
                        <pic:spPr>
                          <a:xfrm>
                            <a:off x="0" y="0"/>
                            <a:ext cx="5715000" cy="38195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jc w:val="center"/>
              <w:rPr>
                <w:rFonts w:hint="default" w:ascii="����" w:hAnsi="����" w:eastAsia="����" w:cs="����"/>
                <w:i w:val="0"/>
                <w:caps w:val="0"/>
                <w:color w:val="5D5D5D"/>
                <w:spacing w:val="0"/>
                <w:sz w:val="18"/>
                <w:szCs w:val="18"/>
                <w:lang w:val="en-US"/>
              </w:rPr>
            </w:pPr>
            <w:r>
              <w:rPr>
                <w:rFonts w:hint="default" w:ascii="����" w:hAnsi="����" w:eastAsia="����" w:cs="����"/>
                <w:i w:val="0"/>
                <w:caps w:val="0"/>
                <w:color w:val="5D5D5D"/>
                <w:spacing w:val="0"/>
                <w:kern w:val="0"/>
                <w:sz w:val="18"/>
                <w:szCs w:val="18"/>
                <w:bdr w:val="none" w:color="auto" w:sz="0" w:space="0"/>
                <w:lang w:val="en-US" w:eastAsia="zh-CN" w:bidi="ar"/>
              </w:rPr>
              <w:t>    校史馆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 w:hAnsi="����" w:eastAsia="����" w:cs="����"/>
                <w:i w:val="0"/>
                <w:caps w:val="0"/>
                <w:color w:val="5D5D5D"/>
                <w:spacing w:val="0"/>
                <w:sz w:val="18"/>
                <w:szCs w:val="18"/>
                <w:bdr w:val="none" w:color="auto" w:sz="0" w:space="0"/>
                <w:lang w:val="en-US"/>
              </w:rPr>
              <w:t>        学校在建校近七十年的办学历程中，为中国电影事业培育了数万名优秀的电影制作、电影理论研究、电影数字技术、文化事业管理及与之相关的专业人才，在国内外电影教育中产生了重要的影响。培养的艺术人才中有陈强、谢添、庞学勤、于洋、吴贻弓、谢飞、郑洞天、李前宽、郭宝昌和翟俊杰等老一代艺术家；也有张艺谋、陈凯歌、田壮壮、李少红、唐国强、宋春丽、张铁林、张丰毅、王志文、许晴、蒋雯丽、黄磊、陆川、贾樟柯等中青年电影人代表；还有徐静蕾、宁浩、赵薇、陈坤、黄渤、周冬雨、关晓彤、王俊凯等一大批电影新锐。师生和校友在每个时代都推出了一大批思想精深、艺术精湛、制作精良的精品力作，20世纪60年代的《白求恩大夫》《刘三姐》《大闹天宫》；70年代的《樱》《小花》《哪吒闹海》；80年代的《红高粱》《骆驼祥子》；90年代的《开国大典》《霸王别姬》《大红灯笼高高挂》《阳光灿烂的日子》；2000年后的《可可西里》《疯狂的石头》《让子弹飞》《老炮儿》《我不是药神》《红海行动》《流浪地球》等均由学校校友担任主创。历届“华表奖”“金鸡奖”“五个一工程奖”等获奖作品中，学校毕业生占获奖者的比例高达80%以上。在戛纳、威尼斯、柏林国际电影节等重大A类国际电影节上获奖的中国影片，其主创人员大多是北京电影学院校友。学校毕业生还是全国千余所开设影视相关专业的高校中影视师资最重要的来源，大部分已成为学科带头人和骨干教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 w:hAnsi="����" w:eastAsia="����" w:cs="����"/>
                <w:i w:val="0"/>
                <w:caps w:val="0"/>
                <w:color w:val="5D5D5D"/>
                <w:spacing w:val="0"/>
                <w:sz w:val="18"/>
                <w:szCs w:val="18"/>
                <w:bdr w:val="none" w:color="auto" w:sz="0" w:space="0"/>
                <w:lang w:val="en-US"/>
              </w:rPr>
              <w:t> </w:t>
            </w:r>
          </w:p>
          <w:tbl>
            <w:tblPr>
              <w:tblW w:w="1500" w:type="pct"/>
              <w:jc w:val="center"/>
              <w:tblCellSpacing w:w="37" w:type="dxa"/>
              <w:tblBorders>
                <w:top w:val="outset" w:color="A7A7A7" w:sz="12" w:space="0"/>
                <w:left w:val="outset" w:color="A7A7A7" w:sz="12" w:space="0"/>
                <w:bottom w:val="outset" w:color="A7A7A7" w:sz="12" w:space="0"/>
                <w:right w:val="outset" w:color="A7A7A7" w:sz="12" w:space="0"/>
                <w:insideH w:val="outset" w:color="A7A7A7" w:sz="12" w:space="0"/>
                <w:insideV w:val="outset" w:color="A7A7A7" w:sz="12" w:space="0"/>
              </w:tblBorders>
              <w:shd w:val="clear" w:color="auto" w:fill="F7F7F7"/>
              <w:tblLayout w:type="autofit"/>
              <w:tblCellMar>
                <w:top w:w="0" w:type="dxa"/>
                <w:left w:w="0" w:type="dxa"/>
                <w:bottom w:w="0" w:type="dxa"/>
                <w:right w:w="0" w:type="dxa"/>
              </w:tblCellMar>
            </w:tblPr>
            <w:tblGrid>
              <w:gridCol w:w="8271"/>
            </w:tblGrid>
            <w:tr>
              <w:tblPrEx>
                <w:tblBorders>
                  <w:top w:val="outset" w:color="A7A7A7" w:sz="12" w:space="0"/>
                  <w:left w:val="outset" w:color="A7A7A7" w:sz="12" w:space="0"/>
                  <w:bottom w:val="outset" w:color="A7A7A7" w:sz="12" w:space="0"/>
                  <w:right w:val="outset" w:color="A7A7A7" w:sz="12" w:space="0"/>
                  <w:insideH w:val="outset" w:color="A7A7A7" w:sz="12" w:space="0"/>
                  <w:insideV w:val="outset" w:color="A7A7A7" w:sz="12" w:space="0"/>
                </w:tblBorders>
                <w:shd w:val="clear" w:color="auto" w:fill="F7F7F7"/>
                <w:tblCellMar>
                  <w:top w:w="0" w:type="dxa"/>
                  <w:left w:w="0" w:type="dxa"/>
                  <w:bottom w:w="0" w:type="dxa"/>
                  <w:right w:w="0" w:type="dxa"/>
                </w:tblCellMar>
              </w:tblPrEx>
              <w:trPr>
                <w:tblCellSpacing w:w="37" w:type="dxa"/>
                <w:jc w:val="center"/>
              </w:trPr>
              <w:tc>
                <w:tcPr>
                  <w:tcW w:w="0" w:type="auto"/>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宋体" w:hAnsi="宋体" w:eastAsia="宋体" w:cs="宋体"/>
                      <w:kern w:val="0"/>
                      <w:sz w:val="24"/>
                      <w:szCs w:val="24"/>
                      <w:bdr w:val="none" w:color="auto" w:sz="0" w:space="0"/>
                      <w:lang w:val="en-US" w:eastAsia="zh-CN" w:bidi="ar"/>
                    </w:rPr>
                    <w:drawing>
                      <wp:inline distT="0" distB="0" distL="114300" distR="114300">
                        <wp:extent cx="5715000" cy="5429250"/>
                        <wp:effectExtent l="0" t="0" r="0" b="0"/>
                        <wp:docPr id="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3"/>
                                <pic:cNvPicPr>
                                  <a:picLocks noChangeAspect="1"/>
                                </pic:cNvPicPr>
                              </pic:nvPicPr>
                              <pic:blipFill>
                                <a:blip r:embed="rId11"/>
                                <a:stretch>
                                  <a:fillRect/>
                                </a:stretch>
                              </pic:blipFill>
                              <pic:spPr>
                                <a:xfrm>
                                  <a:off x="0" y="0"/>
                                  <a:ext cx="5715000" cy="54292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    校友风采</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 w:hAnsi="����" w:eastAsia="����" w:cs="����"/>
                <w:i w:val="0"/>
                <w:caps w:val="0"/>
                <w:color w:val="5D5D5D"/>
                <w:spacing w:val="0"/>
                <w:sz w:val="18"/>
                <w:szCs w:val="18"/>
                <w:bdr w:val="none" w:color="auto" w:sz="0" w:space="0"/>
                <w:lang w:val="en-US"/>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 w:hAnsi="����" w:eastAsia="����" w:cs="����"/>
                <w:i w:val="0"/>
                <w:caps w:val="0"/>
                <w:color w:val="5D5D5D"/>
                <w:spacing w:val="0"/>
                <w:sz w:val="18"/>
                <w:szCs w:val="18"/>
                <w:bdr w:val="none" w:color="auto" w:sz="0" w:space="0"/>
                <w:lang w:val="en-US"/>
              </w:rPr>
              <w:t>        学校多年来积极服务于国家战略和北京市各项重大活动，圆满完成2008年北京奥运会开闭幕式、国庆周年庆祝活动，连续承办五届“北京国际电影节”评奖工作，助力“一带一路”倡议，承办两届丝绸之路国际电影节评奖工作，承办2018“光影未来雄安新区首届电影周”活动，2018韩国平昌冬奥会北京八分钟节目预演技术研发工作，2022北京冬奥会形象宣传动画设计、2019北京世界园艺博览会开幕式晚会创意设计与预演等重大项目。学校发动数百名师生尤其是本科生，深入国家及北京市大型影视文化活动的最前线，凭借师生的专业水平和学术能力，向世界展示了学校在电影创作、人才培养、学术研究、国际交流等方面的高端水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 w:hAnsi="����" w:eastAsia="����" w:cs="����"/>
                <w:i w:val="0"/>
                <w:caps w:val="0"/>
                <w:color w:val="5D5D5D"/>
                <w:spacing w:val="0"/>
                <w:sz w:val="18"/>
                <w:szCs w:val="18"/>
                <w:bdr w:val="none" w:color="auto" w:sz="0" w:space="0"/>
                <w:lang w:val="en-US"/>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pPr>
            <w:r>
              <w:rPr>
                <w:rFonts w:hint="default" w:ascii="����" w:hAnsi="����" w:eastAsia="����" w:cs="����"/>
                <w:i w:val="0"/>
                <w:caps w:val="0"/>
                <w:color w:val="5D5D5D"/>
                <w:spacing w:val="0"/>
                <w:sz w:val="18"/>
                <w:szCs w:val="18"/>
                <w:bdr w:val="none" w:color="auto" w:sz="0" w:space="0"/>
                <w:lang w:val="en-US"/>
              </w:rPr>
              <w:t>        在新时代，学校深刻领会全国教育大会和北京市教育大会的精神，认真思索如何奋力建设“双一流”、明晰未来发展方向，如何更好承载中华民族伟大复兴的崇高使命，如何更好地服务社会主义电影强国建设。北京电影学院人必将以更高的境界、更宽的视野、创造教育教学的新成果，创作电影作品的新经典，探索艺术教育的新领域，培养新时期社会主义建设的卓越电影人才，攀登中国和世界高等电影教育的新高峰。</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B5C68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2020-05-03T11:55:12Z</dcterms:created>
  <dc:creator>69231</dc:creator>
  <cp:lastModifiedBy>69231</cp:lastModifiedBy>
  <dcterms:modified xsi:type="dcterms:W3CDTF">2020-05-03T11:55:44Z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